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BB99" w14:textId="77777777" w:rsidR="0003084C" w:rsidRPr="0003084C" w:rsidRDefault="0003084C" w:rsidP="0003084C">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03084C">
        <w:rPr>
          <w:rFonts w:ascii="Verdana" w:eastAsia="Times New Roman" w:hAnsi="Verdana" w:cs="Times New Roman"/>
          <w:color w:val="CC3300"/>
          <w:kern w:val="36"/>
          <w:sz w:val="36"/>
          <w:szCs w:val="36"/>
          <w:lang w:eastAsia="fr-BE"/>
        </w:rPr>
        <w:t>Métaux de base : la crise énergétique menace la production européenne</w:t>
      </w:r>
    </w:p>
    <w:p w14:paraId="1E0B1811" w14:textId="77777777" w:rsidR="0003084C" w:rsidRDefault="0003084C" w:rsidP="0003084C">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6988CCE" w14:textId="2AFF451C"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03084C">
        <w:rPr>
          <w:rFonts w:ascii="Verdana" w:eastAsia="Times New Roman" w:hAnsi="Verdana" w:cs="Times New Roman"/>
          <w:b/>
          <w:bCs/>
          <w:color w:val="000000"/>
          <w:sz w:val="23"/>
          <w:szCs w:val="23"/>
          <w:lang w:eastAsia="fr-BE"/>
        </w:rPr>
        <w:t>Eurometaux</w:t>
      </w:r>
      <w:proofErr w:type="spellEnd"/>
      <w:r w:rsidRPr="0003084C">
        <w:rPr>
          <w:rFonts w:ascii="Verdana" w:eastAsia="Times New Roman" w:hAnsi="Verdana" w:cs="Times New Roman"/>
          <w:b/>
          <w:bCs/>
          <w:color w:val="000000"/>
          <w:sz w:val="23"/>
          <w:szCs w:val="23"/>
          <w:lang w:eastAsia="fr-BE"/>
        </w:rPr>
        <w:t xml:space="preserve">, qui représente les principaux producteurs mondiaux de métaux - tels que Norsk Hydro, Rio Tinto, </w:t>
      </w:r>
      <w:proofErr w:type="spellStart"/>
      <w:r w:rsidRPr="0003084C">
        <w:rPr>
          <w:rFonts w:ascii="Verdana" w:eastAsia="Times New Roman" w:hAnsi="Verdana" w:cs="Times New Roman"/>
          <w:b/>
          <w:bCs/>
          <w:color w:val="000000"/>
          <w:sz w:val="23"/>
          <w:szCs w:val="23"/>
          <w:lang w:eastAsia="fr-BE"/>
        </w:rPr>
        <w:t>Eramet</w:t>
      </w:r>
      <w:proofErr w:type="spellEnd"/>
      <w:r w:rsidRPr="0003084C">
        <w:rPr>
          <w:rFonts w:ascii="Verdana" w:eastAsia="Times New Roman" w:hAnsi="Verdana" w:cs="Times New Roman"/>
          <w:b/>
          <w:bCs/>
          <w:color w:val="000000"/>
          <w:sz w:val="23"/>
          <w:szCs w:val="23"/>
          <w:lang w:eastAsia="fr-BE"/>
        </w:rPr>
        <w:t xml:space="preserve">, </w:t>
      </w:r>
      <w:proofErr w:type="spellStart"/>
      <w:r w:rsidRPr="0003084C">
        <w:rPr>
          <w:rFonts w:ascii="Verdana" w:eastAsia="Times New Roman" w:hAnsi="Verdana" w:cs="Times New Roman"/>
          <w:b/>
          <w:bCs/>
          <w:color w:val="000000"/>
          <w:sz w:val="23"/>
          <w:szCs w:val="23"/>
          <w:lang w:eastAsia="fr-BE"/>
        </w:rPr>
        <w:t>Boliden</w:t>
      </w:r>
      <w:proofErr w:type="spellEnd"/>
      <w:r w:rsidRPr="0003084C">
        <w:rPr>
          <w:rFonts w:ascii="Verdana" w:eastAsia="Times New Roman" w:hAnsi="Verdana" w:cs="Times New Roman"/>
          <w:b/>
          <w:bCs/>
          <w:color w:val="000000"/>
          <w:sz w:val="23"/>
          <w:szCs w:val="23"/>
          <w:lang w:eastAsia="fr-BE"/>
        </w:rPr>
        <w:t xml:space="preserve"> ou encore </w:t>
      </w:r>
      <w:proofErr w:type="spellStart"/>
      <w:r w:rsidRPr="0003084C">
        <w:rPr>
          <w:rFonts w:ascii="Verdana" w:eastAsia="Times New Roman" w:hAnsi="Verdana" w:cs="Times New Roman"/>
          <w:b/>
          <w:bCs/>
          <w:color w:val="000000"/>
          <w:sz w:val="23"/>
          <w:szCs w:val="23"/>
          <w:lang w:eastAsia="fr-BE"/>
        </w:rPr>
        <w:t>Umicore</w:t>
      </w:r>
      <w:proofErr w:type="spellEnd"/>
      <w:r w:rsidRPr="0003084C">
        <w:rPr>
          <w:rFonts w:ascii="Verdana" w:eastAsia="Times New Roman" w:hAnsi="Verdana" w:cs="Times New Roman"/>
          <w:b/>
          <w:bCs/>
          <w:color w:val="000000"/>
          <w:sz w:val="23"/>
          <w:szCs w:val="23"/>
          <w:lang w:eastAsia="fr-BE"/>
        </w:rPr>
        <w:t xml:space="preserve"> - a averti la Commission européenne que la crise énergétique menaçait très sérieusement la production.</w:t>
      </w:r>
    </w:p>
    <w:p w14:paraId="255E6C84"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w:t>
      </w:r>
    </w:p>
    <w:p w14:paraId="3275C7D7"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xml:space="preserve">La flambée des coûts énergétiques est telle qu’elle oblige les producteurs à arrêter des capacités.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xml:space="preserve"> demande à la Commission européenne que les prix du carbone augmentent de manière raisonnée et de faire preuve de souplesse.</w:t>
      </w:r>
    </w:p>
    <w:p w14:paraId="6B804C4F"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Les gouvernements européens doivent faire face à une flambée des prix des énergies, portée par celle du gaz, due à la reprise économique consécutive à la pandémie. «</w:t>
      </w:r>
      <w:r w:rsidRPr="0003084C">
        <w:rPr>
          <w:rFonts w:ascii="Verdana" w:eastAsia="Times New Roman" w:hAnsi="Verdana" w:cs="Times New Roman"/>
          <w:i/>
          <w:iCs/>
          <w:color w:val="000000"/>
          <w:sz w:val="23"/>
          <w:szCs w:val="23"/>
          <w:lang w:eastAsia="fr-BE"/>
        </w:rPr>
        <w:t> La hausse des coûts de l’électricité a déjà entraîné des fermetures et pourrait inciter les producteurs à délocaliser leur production si la situation devait perdurer</w:t>
      </w:r>
      <w:r w:rsidRPr="0003084C">
        <w:rPr>
          <w:rFonts w:ascii="Verdana" w:eastAsia="Times New Roman" w:hAnsi="Verdana" w:cs="Times New Roman"/>
          <w:color w:val="000000"/>
          <w:sz w:val="23"/>
          <w:szCs w:val="23"/>
          <w:lang w:eastAsia="fr-BE"/>
        </w:rPr>
        <w:t xml:space="preserve"> », s’alerte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dans sa lettre adressée à Kadri Simson, commissaire européen à l’Energie. « </w:t>
      </w:r>
      <w:r w:rsidRPr="0003084C">
        <w:rPr>
          <w:rFonts w:ascii="Verdana" w:eastAsia="Times New Roman" w:hAnsi="Verdana" w:cs="Times New Roman"/>
          <w:i/>
          <w:iCs/>
          <w:color w:val="000000"/>
          <w:sz w:val="23"/>
          <w:szCs w:val="23"/>
          <w:lang w:eastAsia="fr-BE"/>
        </w:rPr>
        <w:t xml:space="preserve">En outre, si le coût de l’électricité reste aussi élevé, la décarbonation de l’industrie pourrait être remise en question et les objectifs d’émissions carbone ne pourront être </w:t>
      </w:r>
      <w:proofErr w:type="gramStart"/>
      <w:r w:rsidRPr="0003084C">
        <w:rPr>
          <w:rFonts w:ascii="Verdana" w:eastAsia="Times New Roman" w:hAnsi="Verdana" w:cs="Times New Roman"/>
          <w:i/>
          <w:iCs/>
          <w:color w:val="000000"/>
          <w:sz w:val="23"/>
          <w:szCs w:val="23"/>
          <w:lang w:eastAsia="fr-BE"/>
        </w:rPr>
        <w:t>atteints</w:t>
      </w:r>
      <w:proofErr w:type="gramEnd"/>
      <w:r w:rsidRPr="0003084C">
        <w:rPr>
          <w:rFonts w:ascii="Verdana" w:eastAsia="Times New Roman" w:hAnsi="Verdana" w:cs="Times New Roman"/>
          <w:color w:val="000000"/>
          <w:sz w:val="23"/>
          <w:szCs w:val="23"/>
          <w:lang w:eastAsia="fr-BE"/>
        </w:rPr>
        <w:t xml:space="preserve"> », poursuit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xml:space="preserve">. L’Union européenne veut baisser </w:t>
      </w:r>
      <w:proofErr w:type="gramStart"/>
      <w:r w:rsidRPr="0003084C">
        <w:rPr>
          <w:rFonts w:ascii="Verdana" w:eastAsia="Times New Roman" w:hAnsi="Verdana" w:cs="Times New Roman"/>
          <w:color w:val="000000"/>
          <w:sz w:val="23"/>
          <w:szCs w:val="23"/>
          <w:lang w:eastAsia="fr-BE"/>
        </w:rPr>
        <w:t>les émissions carbone</w:t>
      </w:r>
      <w:proofErr w:type="gramEnd"/>
      <w:r w:rsidRPr="0003084C">
        <w:rPr>
          <w:rFonts w:ascii="Verdana" w:eastAsia="Times New Roman" w:hAnsi="Verdana" w:cs="Times New Roman"/>
          <w:color w:val="000000"/>
          <w:sz w:val="23"/>
          <w:szCs w:val="23"/>
          <w:lang w:eastAsia="fr-BE"/>
        </w:rPr>
        <w:t xml:space="preserve"> de 55 % d’ici à 2030, à partir du niveau de 1990 - une étape intermédiaire avant d’atteindre le zéro carbone en 2050.</w:t>
      </w:r>
    </w:p>
    <w:p w14:paraId="33FC5E4C"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xml:space="preserve">Les métaux, tels que l’aluminium, le cuivre, le nickel et le silicium, requièrent plus électricité lors de </w:t>
      </w:r>
      <w:proofErr w:type="gramStart"/>
      <w:r w:rsidRPr="0003084C">
        <w:rPr>
          <w:rFonts w:ascii="Verdana" w:eastAsia="Times New Roman" w:hAnsi="Verdana" w:cs="Times New Roman"/>
          <w:color w:val="000000"/>
          <w:sz w:val="23"/>
          <w:szCs w:val="23"/>
          <w:lang w:eastAsia="fr-BE"/>
        </w:rPr>
        <w:t>leur production comparé</w:t>
      </w:r>
      <w:proofErr w:type="gramEnd"/>
      <w:r w:rsidRPr="0003084C">
        <w:rPr>
          <w:rFonts w:ascii="Verdana" w:eastAsia="Times New Roman" w:hAnsi="Verdana" w:cs="Times New Roman"/>
          <w:color w:val="000000"/>
          <w:sz w:val="23"/>
          <w:szCs w:val="23"/>
          <w:lang w:eastAsia="fr-BE"/>
        </w:rPr>
        <w:t xml:space="preserve"> aux autres métaux, rappelle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xml:space="preserve">. Pour l’aluminium, le coût de l’électricité pourrait s’élever à 2.000 € par tonne produite avec la flambée des prix, soit 80% du coût total du métal, précise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Et ce, alors que « </w:t>
      </w:r>
      <w:r w:rsidRPr="0003084C">
        <w:rPr>
          <w:rFonts w:ascii="Verdana" w:eastAsia="Times New Roman" w:hAnsi="Verdana" w:cs="Times New Roman"/>
          <w:i/>
          <w:iCs/>
          <w:color w:val="000000"/>
          <w:sz w:val="23"/>
          <w:szCs w:val="23"/>
          <w:lang w:eastAsia="fr-BE"/>
        </w:rPr>
        <w:t>ces métaux devront être produits en grande quantité pour fournir les secteurs qui vont contribuer à la réalisation du Green Deal, tels que les batteries, les véhicules électriques, les éoliennes, les panneaux solaires et les infrastructures de réseaux énergétiques</w:t>
      </w:r>
      <w:r w:rsidRPr="0003084C">
        <w:rPr>
          <w:rFonts w:ascii="Verdana" w:eastAsia="Times New Roman" w:hAnsi="Verdana" w:cs="Times New Roman"/>
          <w:color w:val="000000"/>
          <w:sz w:val="23"/>
          <w:szCs w:val="23"/>
          <w:lang w:eastAsia="fr-BE"/>
        </w:rPr>
        <w:t xml:space="preserve"> », explique </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 La CE a confirmé avoir reçu la lettre et a indiqué qu’elle y répondrait dans les plus brefs délais. «</w:t>
      </w:r>
      <w:r w:rsidRPr="0003084C">
        <w:rPr>
          <w:rFonts w:ascii="Verdana" w:eastAsia="Times New Roman" w:hAnsi="Verdana" w:cs="Times New Roman"/>
          <w:i/>
          <w:iCs/>
          <w:color w:val="000000"/>
          <w:sz w:val="23"/>
          <w:szCs w:val="23"/>
          <w:lang w:eastAsia="fr-BE"/>
        </w:rPr>
        <w:t xml:space="preserve"> Et si une industrie de taille comme la </w:t>
      </w:r>
      <w:proofErr w:type="spellStart"/>
      <w:r w:rsidRPr="0003084C">
        <w:rPr>
          <w:rFonts w:ascii="Verdana" w:eastAsia="Times New Roman" w:hAnsi="Verdana" w:cs="Times New Roman"/>
          <w:i/>
          <w:iCs/>
          <w:color w:val="000000"/>
          <w:sz w:val="23"/>
          <w:szCs w:val="23"/>
          <w:lang w:eastAsia="fr-BE"/>
        </w:rPr>
        <w:t>notre</w:t>
      </w:r>
      <w:proofErr w:type="spellEnd"/>
      <w:r w:rsidRPr="0003084C">
        <w:rPr>
          <w:rFonts w:ascii="Verdana" w:eastAsia="Times New Roman" w:hAnsi="Verdana" w:cs="Times New Roman"/>
          <w:i/>
          <w:iCs/>
          <w:color w:val="000000"/>
          <w:sz w:val="23"/>
          <w:szCs w:val="23"/>
          <w:lang w:eastAsia="fr-BE"/>
        </w:rPr>
        <w:t xml:space="preserve"> ne peut demeurer compétitive et survivre à la prochaine décennie, ce sera la dégringolade pour les autres industries en aval</w:t>
      </w:r>
      <w:r w:rsidRPr="0003084C">
        <w:rPr>
          <w:rFonts w:ascii="Verdana" w:eastAsia="Times New Roman" w:hAnsi="Verdana" w:cs="Times New Roman"/>
          <w:color w:val="000000"/>
          <w:sz w:val="23"/>
          <w:szCs w:val="23"/>
          <w:lang w:eastAsia="fr-BE"/>
        </w:rPr>
        <w:t> », s’inquiète Guy Thiran, dg d’</w:t>
      </w:r>
      <w:proofErr w:type="spellStart"/>
      <w:r w:rsidRPr="0003084C">
        <w:rPr>
          <w:rFonts w:ascii="Verdana" w:eastAsia="Times New Roman" w:hAnsi="Verdana" w:cs="Times New Roman"/>
          <w:color w:val="000000"/>
          <w:sz w:val="23"/>
          <w:szCs w:val="23"/>
          <w:lang w:eastAsia="fr-BE"/>
        </w:rPr>
        <w:t>Eurometaux</w:t>
      </w:r>
      <w:proofErr w:type="spellEnd"/>
      <w:r w:rsidRPr="0003084C">
        <w:rPr>
          <w:rFonts w:ascii="Verdana" w:eastAsia="Times New Roman" w:hAnsi="Verdana" w:cs="Times New Roman"/>
          <w:color w:val="000000"/>
          <w:sz w:val="23"/>
          <w:szCs w:val="23"/>
          <w:lang w:eastAsia="fr-BE"/>
        </w:rPr>
        <w:t>.</w:t>
      </w:r>
    </w:p>
    <w:p w14:paraId="73BA5D27"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w:t>
      </w:r>
    </w:p>
    <w:p w14:paraId="4F948F50"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03084C">
        <w:rPr>
          <w:rFonts w:ascii="Verdana" w:eastAsia="Times New Roman" w:hAnsi="Verdana" w:cs="Times New Roman"/>
          <w:b/>
          <w:bCs/>
          <w:color w:val="A52A2A"/>
          <w:sz w:val="23"/>
          <w:szCs w:val="23"/>
          <w:lang w:eastAsia="fr-BE"/>
        </w:rPr>
        <w:t>Nyrstar</w:t>
      </w:r>
      <w:proofErr w:type="spellEnd"/>
      <w:r w:rsidRPr="0003084C">
        <w:rPr>
          <w:rFonts w:ascii="Verdana" w:eastAsia="Times New Roman" w:hAnsi="Verdana" w:cs="Times New Roman"/>
          <w:b/>
          <w:bCs/>
          <w:color w:val="A52A2A"/>
          <w:sz w:val="23"/>
          <w:szCs w:val="23"/>
          <w:lang w:eastAsia="fr-BE"/>
        </w:rPr>
        <w:t xml:space="preserve"> est l’une des victimes de la crise énergétique</w:t>
      </w:r>
    </w:p>
    <w:p w14:paraId="114ACA81"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Le producteur de zinc belge a indiqué la semaine passée qu’il était contraint de réduire la production de son usine néerlandaise, « </w:t>
      </w:r>
      <w:r w:rsidRPr="0003084C">
        <w:rPr>
          <w:rFonts w:ascii="Verdana" w:eastAsia="Times New Roman" w:hAnsi="Verdana" w:cs="Times New Roman"/>
          <w:i/>
          <w:iCs/>
          <w:color w:val="000000"/>
          <w:sz w:val="23"/>
          <w:szCs w:val="23"/>
          <w:lang w:eastAsia="fr-BE"/>
        </w:rPr>
        <w:t>en réponse à la flambée régionale des prix de l’énergie enregistrée au cours de l’année</w:t>
      </w:r>
      <w:r w:rsidRPr="0003084C">
        <w:rPr>
          <w:rFonts w:ascii="Verdana" w:eastAsia="Times New Roman" w:hAnsi="Verdana" w:cs="Times New Roman"/>
          <w:color w:val="000000"/>
          <w:sz w:val="23"/>
          <w:szCs w:val="23"/>
          <w:lang w:eastAsia="fr-BE"/>
        </w:rPr>
        <w:t> ».</w:t>
      </w:r>
    </w:p>
    <w:p w14:paraId="7D47738D"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xml:space="preserve">L’usine de </w:t>
      </w:r>
      <w:proofErr w:type="spellStart"/>
      <w:r w:rsidRPr="0003084C">
        <w:rPr>
          <w:rFonts w:ascii="Verdana" w:eastAsia="Times New Roman" w:hAnsi="Verdana" w:cs="Times New Roman"/>
          <w:color w:val="000000"/>
          <w:sz w:val="23"/>
          <w:szCs w:val="23"/>
          <w:lang w:eastAsia="fr-BE"/>
        </w:rPr>
        <w:t>Budel-Dorplein</w:t>
      </w:r>
      <w:proofErr w:type="spellEnd"/>
      <w:r w:rsidRPr="0003084C">
        <w:rPr>
          <w:rFonts w:ascii="Verdana" w:eastAsia="Times New Roman" w:hAnsi="Verdana" w:cs="Times New Roman"/>
          <w:color w:val="000000"/>
          <w:sz w:val="23"/>
          <w:szCs w:val="23"/>
          <w:lang w:eastAsia="fr-BE"/>
        </w:rPr>
        <w:t>, aux Pays Bas, fonctionne entièrement à l’électricité et « </w:t>
      </w:r>
      <w:r w:rsidRPr="0003084C">
        <w:rPr>
          <w:rFonts w:ascii="Verdana" w:eastAsia="Times New Roman" w:hAnsi="Verdana" w:cs="Times New Roman"/>
          <w:i/>
          <w:iCs/>
          <w:color w:val="000000"/>
          <w:sz w:val="23"/>
          <w:szCs w:val="23"/>
          <w:lang w:eastAsia="fr-BE"/>
        </w:rPr>
        <w:t>elle est obligée de réduire sa production aux heures de pic de consommation quand le prix de celle-ci excède le seuil de rentabilité des coûts de production</w:t>
      </w:r>
      <w:r w:rsidRPr="0003084C">
        <w:rPr>
          <w:rFonts w:ascii="Verdana" w:eastAsia="Times New Roman" w:hAnsi="Verdana" w:cs="Times New Roman"/>
          <w:color w:val="000000"/>
          <w:sz w:val="23"/>
          <w:szCs w:val="23"/>
          <w:lang w:eastAsia="fr-BE"/>
        </w:rPr>
        <w:t> », a indiqué un porte-parole du producteur. </w:t>
      </w:r>
      <w:proofErr w:type="spellStart"/>
      <w:r w:rsidRPr="0003084C">
        <w:rPr>
          <w:rFonts w:ascii="Verdana" w:eastAsia="Times New Roman" w:hAnsi="Verdana" w:cs="Times New Roman"/>
          <w:b/>
          <w:bCs/>
          <w:color w:val="000000"/>
          <w:sz w:val="23"/>
          <w:szCs w:val="23"/>
          <w:lang w:eastAsia="fr-BE"/>
        </w:rPr>
        <w:t>Nyrstar</w:t>
      </w:r>
      <w:proofErr w:type="spellEnd"/>
      <w:r w:rsidRPr="0003084C">
        <w:rPr>
          <w:rFonts w:ascii="Verdana" w:eastAsia="Times New Roman" w:hAnsi="Verdana" w:cs="Times New Roman"/>
          <w:b/>
          <w:bCs/>
          <w:color w:val="000000"/>
          <w:sz w:val="23"/>
          <w:szCs w:val="23"/>
          <w:lang w:eastAsia="fr-BE"/>
        </w:rPr>
        <w:t> </w:t>
      </w:r>
      <w:r w:rsidRPr="0003084C">
        <w:rPr>
          <w:rFonts w:ascii="Verdana" w:eastAsia="Times New Roman" w:hAnsi="Verdana" w:cs="Times New Roman"/>
          <w:color w:val="000000"/>
          <w:sz w:val="23"/>
          <w:szCs w:val="23"/>
          <w:lang w:eastAsia="fr-BE"/>
        </w:rPr>
        <w:t xml:space="preserve">n’a pas </w:t>
      </w:r>
      <w:r w:rsidRPr="0003084C">
        <w:rPr>
          <w:rFonts w:ascii="Verdana" w:eastAsia="Times New Roman" w:hAnsi="Verdana" w:cs="Times New Roman"/>
          <w:color w:val="000000"/>
          <w:sz w:val="23"/>
          <w:szCs w:val="23"/>
          <w:lang w:eastAsia="fr-BE"/>
        </w:rPr>
        <w:lastRenderedPageBreak/>
        <w:t>donné de détail quant aux pertes enregistrées à l’usine néerlandaise, dont la production annuelle s’élève à 300.000 tonnes.</w:t>
      </w:r>
    </w:p>
    <w:p w14:paraId="3928ED5F"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03084C">
        <w:rPr>
          <w:rFonts w:ascii="Verdana" w:eastAsia="Times New Roman" w:hAnsi="Verdana" w:cs="Times New Roman"/>
          <w:b/>
          <w:bCs/>
          <w:color w:val="000000"/>
          <w:sz w:val="23"/>
          <w:szCs w:val="23"/>
          <w:lang w:eastAsia="fr-BE"/>
        </w:rPr>
        <w:t>Ferroglobe</w:t>
      </w:r>
      <w:proofErr w:type="spellEnd"/>
      <w:r w:rsidRPr="0003084C">
        <w:rPr>
          <w:rFonts w:ascii="Verdana" w:eastAsia="Times New Roman" w:hAnsi="Verdana" w:cs="Times New Roman"/>
          <w:b/>
          <w:bCs/>
          <w:color w:val="000000"/>
          <w:sz w:val="23"/>
          <w:szCs w:val="23"/>
          <w:lang w:eastAsia="fr-BE"/>
        </w:rPr>
        <w:t> </w:t>
      </w:r>
      <w:r w:rsidRPr="0003084C">
        <w:rPr>
          <w:rFonts w:ascii="Verdana" w:eastAsia="Times New Roman" w:hAnsi="Verdana" w:cs="Times New Roman"/>
          <w:color w:val="000000"/>
          <w:sz w:val="23"/>
          <w:szCs w:val="23"/>
          <w:lang w:eastAsia="fr-BE"/>
        </w:rPr>
        <w:t>a indiqué la semaine dernière qu’il suspendait temporairement deux fours en Espagne pour les mêmes raisons. Et ceci alors que la chaîne d’approvisionnement est perturbée depuis plus d’un an par les conséquences de la Covid.</w:t>
      </w:r>
    </w:p>
    <w:p w14:paraId="722726CE"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03084C">
        <w:rPr>
          <w:rFonts w:ascii="Verdana" w:eastAsia="Times New Roman" w:hAnsi="Verdana" w:cs="Times New Roman"/>
          <w:b/>
          <w:bCs/>
          <w:color w:val="000000"/>
          <w:sz w:val="23"/>
          <w:szCs w:val="23"/>
          <w:lang w:eastAsia="fr-BE"/>
        </w:rPr>
        <w:t>Glencore</w:t>
      </w:r>
      <w:proofErr w:type="spellEnd"/>
      <w:r w:rsidRPr="0003084C">
        <w:rPr>
          <w:rFonts w:ascii="Verdana" w:eastAsia="Times New Roman" w:hAnsi="Verdana" w:cs="Times New Roman"/>
          <w:b/>
          <w:bCs/>
          <w:color w:val="000000"/>
          <w:sz w:val="23"/>
          <w:szCs w:val="23"/>
          <w:lang w:eastAsia="fr-BE"/>
        </w:rPr>
        <w:t> </w:t>
      </w:r>
      <w:r w:rsidRPr="0003084C">
        <w:rPr>
          <w:rFonts w:ascii="Verdana" w:eastAsia="Times New Roman" w:hAnsi="Verdana" w:cs="Times New Roman"/>
          <w:color w:val="000000"/>
          <w:sz w:val="23"/>
          <w:szCs w:val="23"/>
          <w:lang w:eastAsia="fr-BE"/>
        </w:rPr>
        <w:t>pense que cette crise peut être résolue avant l’arrivée de l’hiver. Les consommateurs vont chercher d’autres sources énergétiques moins chères ou, tout simplement, consommer moins. « </w:t>
      </w:r>
      <w:r w:rsidRPr="0003084C">
        <w:rPr>
          <w:rFonts w:ascii="Verdana" w:eastAsia="Times New Roman" w:hAnsi="Verdana" w:cs="Times New Roman"/>
          <w:i/>
          <w:iCs/>
          <w:color w:val="000000"/>
          <w:sz w:val="23"/>
          <w:szCs w:val="23"/>
          <w:lang w:eastAsia="fr-BE"/>
        </w:rPr>
        <w:t xml:space="preserve">Les destructions de capacités </w:t>
      </w:r>
      <w:proofErr w:type="gramStart"/>
      <w:r w:rsidRPr="0003084C">
        <w:rPr>
          <w:rFonts w:ascii="Verdana" w:eastAsia="Times New Roman" w:hAnsi="Verdana" w:cs="Times New Roman"/>
          <w:i/>
          <w:iCs/>
          <w:color w:val="000000"/>
          <w:sz w:val="23"/>
          <w:szCs w:val="23"/>
          <w:lang w:eastAsia="fr-BE"/>
        </w:rPr>
        <w:t>seront</w:t>
      </w:r>
      <w:proofErr w:type="gramEnd"/>
      <w:r w:rsidRPr="0003084C">
        <w:rPr>
          <w:rFonts w:ascii="Verdana" w:eastAsia="Times New Roman" w:hAnsi="Verdana" w:cs="Times New Roman"/>
          <w:i/>
          <w:iCs/>
          <w:color w:val="000000"/>
          <w:sz w:val="23"/>
          <w:szCs w:val="23"/>
          <w:lang w:eastAsia="fr-BE"/>
        </w:rPr>
        <w:t xml:space="preserve"> plus nombreuses cet hiver si la situation devait se poursuivre</w:t>
      </w:r>
      <w:r w:rsidRPr="0003084C">
        <w:rPr>
          <w:rFonts w:ascii="Verdana" w:eastAsia="Times New Roman" w:hAnsi="Verdana" w:cs="Times New Roman"/>
          <w:color w:val="000000"/>
          <w:sz w:val="23"/>
          <w:szCs w:val="23"/>
          <w:lang w:eastAsia="fr-BE"/>
        </w:rPr>
        <w:t xml:space="preserve"> », a souligné de son côté Alejandro Sanchez </w:t>
      </w:r>
      <w:proofErr w:type="spellStart"/>
      <w:r w:rsidRPr="0003084C">
        <w:rPr>
          <w:rFonts w:ascii="Verdana" w:eastAsia="Times New Roman" w:hAnsi="Verdana" w:cs="Times New Roman"/>
          <w:color w:val="000000"/>
          <w:sz w:val="23"/>
          <w:szCs w:val="23"/>
          <w:lang w:eastAsia="fr-BE"/>
        </w:rPr>
        <w:t>Gestido</w:t>
      </w:r>
      <w:proofErr w:type="spellEnd"/>
      <w:r w:rsidRPr="0003084C">
        <w:rPr>
          <w:rFonts w:ascii="Verdana" w:eastAsia="Times New Roman" w:hAnsi="Verdana" w:cs="Times New Roman"/>
          <w:color w:val="000000"/>
          <w:sz w:val="23"/>
          <w:szCs w:val="23"/>
          <w:lang w:eastAsia="fr-BE"/>
        </w:rPr>
        <w:t xml:space="preserve">, responsable pour </w:t>
      </w:r>
      <w:proofErr w:type="spellStart"/>
      <w:r w:rsidRPr="0003084C">
        <w:rPr>
          <w:rFonts w:ascii="Verdana" w:eastAsia="Times New Roman" w:hAnsi="Verdana" w:cs="Times New Roman"/>
          <w:color w:val="000000"/>
          <w:sz w:val="23"/>
          <w:szCs w:val="23"/>
          <w:lang w:eastAsia="fr-BE"/>
        </w:rPr>
        <w:t>Glencore</w:t>
      </w:r>
      <w:proofErr w:type="spellEnd"/>
      <w:r w:rsidRPr="0003084C">
        <w:rPr>
          <w:rFonts w:ascii="Verdana" w:eastAsia="Times New Roman" w:hAnsi="Verdana" w:cs="Times New Roman"/>
          <w:color w:val="000000"/>
          <w:sz w:val="23"/>
          <w:szCs w:val="23"/>
          <w:lang w:eastAsia="fr-BE"/>
        </w:rPr>
        <w:t xml:space="preserve"> de la partie gaz naturel liquéfié (GNL).</w:t>
      </w:r>
    </w:p>
    <w:p w14:paraId="6308B01C" w14:textId="77777777" w:rsidR="0003084C" w:rsidRPr="0003084C" w:rsidRDefault="0003084C" w:rsidP="0003084C">
      <w:pPr>
        <w:shd w:val="clear" w:color="auto" w:fill="FFFFFF"/>
        <w:spacing w:before="75" w:after="75" w:line="240" w:lineRule="auto"/>
        <w:jc w:val="both"/>
        <w:rPr>
          <w:rFonts w:ascii="Verdana" w:eastAsia="Times New Roman" w:hAnsi="Verdana" w:cs="Times New Roman"/>
          <w:color w:val="000000"/>
          <w:sz w:val="23"/>
          <w:szCs w:val="23"/>
          <w:lang w:eastAsia="fr-BE"/>
        </w:rPr>
      </w:pPr>
      <w:r w:rsidRPr="0003084C">
        <w:rPr>
          <w:rFonts w:ascii="Verdana" w:eastAsia="Times New Roman" w:hAnsi="Verdana" w:cs="Times New Roman"/>
          <w:color w:val="000000"/>
          <w:sz w:val="23"/>
          <w:szCs w:val="23"/>
          <w:lang w:eastAsia="fr-BE"/>
        </w:rPr>
        <w:t> </w:t>
      </w:r>
    </w:p>
    <w:p w14:paraId="1B936244" w14:textId="77777777" w:rsidR="00D075C9" w:rsidRDefault="00D075C9"/>
    <w:sectPr w:rsidR="00D0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4C"/>
    <w:rsid w:val="0003084C"/>
    <w:rsid w:val="00086BC8"/>
    <w:rsid w:val="00633CB8"/>
    <w:rsid w:val="007B27A0"/>
    <w:rsid w:val="00D075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8085"/>
  <w15:chartTrackingRefBased/>
  <w15:docId w15:val="{C4BE37D5-2996-411C-B84A-839796F9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3119</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2021-10-05T08:20:00Z</dcterms:created>
  <dcterms:modified xsi:type="dcterms:W3CDTF">2021-10-05T08:20:00Z</dcterms:modified>
</cp:coreProperties>
</file>